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2BA9" w14:textId="77777777" w:rsidR="007A7E45" w:rsidRPr="00FE4B89" w:rsidRDefault="007A7E45" w:rsidP="00FE4B89"/>
    <w:p w14:paraId="77D7D539" w14:textId="77777777" w:rsidR="00CD1F94" w:rsidRDefault="000B1A44">
      <w:pPr>
        <w:pStyle w:val="Naslov1"/>
      </w:pPr>
      <w:r>
        <w:t>028 SREDIŠNJI DRŽAVNI URED ZA SREDIŠNJU JAVNU NABAVU</w:t>
      </w:r>
    </w:p>
    <w:p w14:paraId="2E1BDBF3" w14:textId="77777777" w:rsidR="00CD1F94" w:rsidRDefault="000B1A44">
      <w:r>
        <w:t>Člankom 23. Zakona o ustrojstvu i djelokrugu tijela državne uprave definirana je nadležnost Središnjeg državnog ureda za središnju javnu nabavu (dalje u tekstu: Središnji državni ured). U okviru svoje nadležnosti Središnji državni ured provodi postupke središnje javne nabave za tijela državne uprave, Vladu Republike Hrvatske, urede i stručne službe Vlade Republike Hrvatske, Hrvatski sabor i Ured Predsjednika Republike Hrvatske te za dodatne korisnike sukladno odlukama i zaključcima Vlade RH. U tom smislu ti</w:t>
      </w:r>
      <w:r>
        <w:t>jekom 2024. godine Vlada RH donijela je Zaključak kojim se ovlašćuje Središnji državni ured da u postupak središnje javne nabave licenci za korištenje Microsoftovih softverskih proizvoda i usluga uz obveznike središnje nabave dodatno uključi i tijela koja su redom nabrojana u tekstu Zaključka. Uključeno je dodatnih 66 javnih naručitelja.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D1F94" w14:paraId="18340D27" w14:textId="77777777">
        <w:trPr>
          <w:jc w:val="center"/>
        </w:trPr>
        <w:tc>
          <w:tcPr>
            <w:tcW w:w="1632" w:type="dxa"/>
            <w:shd w:val="clear" w:color="auto" w:fill="B5C0D8"/>
          </w:tcPr>
          <w:p w14:paraId="7DD1D702" w14:textId="77777777" w:rsidR="00CD1F94" w:rsidRDefault="00CD1F94">
            <w:pPr>
              <w:pStyle w:val="CellHeader"/>
              <w:jc w:val="center"/>
            </w:pPr>
          </w:p>
        </w:tc>
        <w:tc>
          <w:tcPr>
            <w:tcW w:w="2041" w:type="dxa"/>
            <w:shd w:val="clear" w:color="auto" w:fill="B5C0D8"/>
          </w:tcPr>
          <w:p w14:paraId="763270D8" w14:textId="77777777" w:rsidR="00CD1F94" w:rsidRDefault="000B1A44">
            <w:pPr>
              <w:pStyle w:val="CellHeader"/>
              <w:jc w:val="center"/>
            </w:pPr>
            <w:r>
              <w:rPr>
                <w:rFonts w:cs="Times New Roman"/>
              </w:rPr>
              <w:t>Izvršenje 2023. (eur)</w:t>
            </w:r>
          </w:p>
        </w:tc>
        <w:tc>
          <w:tcPr>
            <w:tcW w:w="2041" w:type="dxa"/>
            <w:shd w:val="clear" w:color="auto" w:fill="B5C0D8"/>
          </w:tcPr>
          <w:p w14:paraId="081FF7E6" w14:textId="77777777" w:rsidR="00CD1F94" w:rsidRDefault="000B1A44">
            <w:pPr>
              <w:pStyle w:val="CellHeader"/>
              <w:jc w:val="center"/>
            </w:pPr>
            <w:r>
              <w:rPr>
                <w:rFonts w:cs="Times New Roman"/>
              </w:rPr>
              <w:t>Plan 2024. (eur)</w:t>
            </w:r>
          </w:p>
        </w:tc>
        <w:tc>
          <w:tcPr>
            <w:tcW w:w="2041" w:type="dxa"/>
            <w:shd w:val="clear" w:color="auto" w:fill="B5C0D8"/>
          </w:tcPr>
          <w:p w14:paraId="4D75D58C" w14:textId="77777777" w:rsidR="00CD1F94" w:rsidRDefault="000B1A44">
            <w:pPr>
              <w:pStyle w:val="CellHeader"/>
              <w:jc w:val="center"/>
            </w:pPr>
            <w:r>
              <w:rPr>
                <w:rFonts w:cs="Times New Roman"/>
              </w:rPr>
              <w:t>Izvršenje 2024. (eur)</w:t>
            </w:r>
          </w:p>
        </w:tc>
        <w:tc>
          <w:tcPr>
            <w:tcW w:w="1224" w:type="dxa"/>
            <w:shd w:val="clear" w:color="auto" w:fill="B5C0D8"/>
          </w:tcPr>
          <w:p w14:paraId="3C8E2F08" w14:textId="77777777" w:rsidR="00CD1F94" w:rsidRDefault="000B1A44">
            <w:pPr>
              <w:pStyle w:val="CellHeader"/>
              <w:jc w:val="center"/>
            </w:pPr>
            <w:r>
              <w:rPr>
                <w:rFonts w:cs="Times New Roman"/>
              </w:rPr>
              <w:t>Indeks izvršenje 2024./plan 2024.</w:t>
            </w:r>
          </w:p>
        </w:tc>
        <w:tc>
          <w:tcPr>
            <w:tcW w:w="1224" w:type="dxa"/>
            <w:shd w:val="clear" w:color="auto" w:fill="B5C0D8"/>
          </w:tcPr>
          <w:p w14:paraId="35AF1136" w14:textId="77777777" w:rsidR="00CD1F94" w:rsidRDefault="000B1A44">
            <w:pPr>
              <w:pStyle w:val="CellHeader"/>
              <w:jc w:val="center"/>
            </w:pPr>
            <w:r>
              <w:rPr>
                <w:rFonts w:cs="Times New Roman"/>
              </w:rPr>
              <w:t>Index izvršenje 2024./2023.</w:t>
            </w:r>
          </w:p>
        </w:tc>
      </w:tr>
      <w:tr w:rsidR="00CD1F94" w14:paraId="27F7BEC5" w14:textId="77777777">
        <w:trPr>
          <w:jc w:val="center"/>
        </w:trPr>
        <w:tc>
          <w:tcPr>
            <w:tcW w:w="1632" w:type="dxa"/>
            <w:vAlign w:val="top"/>
          </w:tcPr>
          <w:p w14:paraId="1FE93E0D" w14:textId="77777777" w:rsidR="00CD1F94" w:rsidRDefault="000B1A44">
            <w:pPr>
              <w:pStyle w:val="CellColumn"/>
              <w:jc w:val="left"/>
            </w:pPr>
            <w:r>
              <w:rPr>
                <w:rFonts w:cs="Times New Roman"/>
              </w:rPr>
              <w:t>02805-Središnji državni ured za središnju javnu nabavu</w:t>
            </w:r>
          </w:p>
        </w:tc>
        <w:tc>
          <w:tcPr>
            <w:tcW w:w="2041" w:type="dxa"/>
            <w:vAlign w:val="top"/>
          </w:tcPr>
          <w:p w14:paraId="51FE4AFE" w14:textId="77777777" w:rsidR="00CD1F94" w:rsidRDefault="000B1A44">
            <w:pPr>
              <w:pStyle w:val="CellColumn"/>
              <w:jc w:val="right"/>
            </w:pPr>
            <w:r>
              <w:rPr>
                <w:rFonts w:cs="Times New Roman"/>
              </w:rPr>
              <w:t>972.196</w:t>
            </w:r>
          </w:p>
        </w:tc>
        <w:tc>
          <w:tcPr>
            <w:tcW w:w="2041" w:type="dxa"/>
            <w:vAlign w:val="top"/>
          </w:tcPr>
          <w:p w14:paraId="238FDD0C" w14:textId="77777777" w:rsidR="00CD1F94" w:rsidRDefault="000B1A44">
            <w:pPr>
              <w:pStyle w:val="CellColumn"/>
              <w:jc w:val="right"/>
            </w:pPr>
            <w:r>
              <w:rPr>
                <w:rFonts w:cs="Times New Roman"/>
              </w:rPr>
              <w:t>1.528.215</w:t>
            </w:r>
          </w:p>
        </w:tc>
        <w:tc>
          <w:tcPr>
            <w:tcW w:w="2041" w:type="dxa"/>
            <w:vAlign w:val="top"/>
          </w:tcPr>
          <w:p w14:paraId="611FE8FA" w14:textId="77777777" w:rsidR="00CD1F94" w:rsidRDefault="000B1A44">
            <w:pPr>
              <w:pStyle w:val="CellColumn"/>
              <w:jc w:val="right"/>
            </w:pPr>
            <w:r>
              <w:rPr>
                <w:rFonts w:cs="Times New Roman"/>
              </w:rPr>
              <w:t>1.150.481</w:t>
            </w:r>
          </w:p>
        </w:tc>
        <w:tc>
          <w:tcPr>
            <w:tcW w:w="1224" w:type="dxa"/>
            <w:vAlign w:val="top"/>
          </w:tcPr>
          <w:p w14:paraId="2039B3EF" w14:textId="77777777" w:rsidR="00CD1F94" w:rsidRDefault="000B1A44">
            <w:pPr>
              <w:pStyle w:val="CellColumn"/>
              <w:jc w:val="right"/>
            </w:pPr>
            <w:r>
              <w:rPr>
                <w:rFonts w:cs="Times New Roman"/>
              </w:rPr>
              <w:t>75,3</w:t>
            </w:r>
          </w:p>
        </w:tc>
        <w:tc>
          <w:tcPr>
            <w:tcW w:w="1224" w:type="dxa"/>
            <w:vAlign w:val="top"/>
          </w:tcPr>
          <w:p w14:paraId="60B8ADFD" w14:textId="77777777" w:rsidR="00CD1F94" w:rsidRDefault="000B1A44">
            <w:pPr>
              <w:pStyle w:val="CellColumn"/>
              <w:jc w:val="right"/>
            </w:pPr>
            <w:r>
              <w:rPr>
                <w:rFonts w:cs="Times New Roman"/>
              </w:rPr>
              <w:t>118,3</w:t>
            </w:r>
          </w:p>
        </w:tc>
      </w:tr>
      <w:tr w:rsidR="00CD1F94" w14:paraId="486BF43F" w14:textId="77777777">
        <w:trPr>
          <w:jc w:val="center"/>
        </w:trPr>
        <w:tc>
          <w:tcPr>
            <w:tcW w:w="1632" w:type="dxa"/>
            <w:shd w:val="clear" w:color="auto" w:fill="B5C0D8"/>
          </w:tcPr>
          <w:p w14:paraId="665E48B5" w14:textId="77777777" w:rsidR="00CD1F94" w:rsidRDefault="000B1A44">
            <w:pPr>
              <w:pStyle w:val="CellColumn"/>
              <w:jc w:val="left"/>
            </w:pPr>
            <w:r>
              <w:rPr>
                <w:rFonts w:cs="Times New Roman"/>
              </w:rPr>
              <w:t>Ukupno 028-SREDIŠNJI DRŽAVNI URED ZA SREDIŠNJU JAVNU NABAVU</w:t>
            </w:r>
          </w:p>
        </w:tc>
        <w:tc>
          <w:tcPr>
            <w:tcW w:w="2041" w:type="dxa"/>
            <w:shd w:val="clear" w:color="auto" w:fill="B5C0D8"/>
          </w:tcPr>
          <w:p w14:paraId="4A1829FC" w14:textId="77777777" w:rsidR="00CD1F94" w:rsidRDefault="000B1A44">
            <w:pPr>
              <w:pStyle w:val="CellColumn"/>
              <w:jc w:val="right"/>
            </w:pPr>
            <w:r>
              <w:rPr>
                <w:rFonts w:cs="Times New Roman"/>
              </w:rPr>
              <w:t>972.196</w:t>
            </w:r>
          </w:p>
        </w:tc>
        <w:tc>
          <w:tcPr>
            <w:tcW w:w="2041" w:type="dxa"/>
            <w:shd w:val="clear" w:color="auto" w:fill="B5C0D8"/>
          </w:tcPr>
          <w:p w14:paraId="1C0F8769" w14:textId="77777777" w:rsidR="00CD1F94" w:rsidRDefault="000B1A44">
            <w:pPr>
              <w:pStyle w:val="CellColumn"/>
              <w:jc w:val="right"/>
            </w:pPr>
            <w:r>
              <w:rPr>
                <w:rFonts w:cs="Times New Roman"/>
              </w:rPr>
              <w:t>1.528.215</w:t>
            </w:r>
          </w:p>
        </w:tc>
        <w:tc>
          <w:tcPr>
            <w:tcW w:w="2041" w:type="dxa"/>
            <w:shd w:val="clear" w:color="auto" w:fill="B5C0D8"/>
          </w:tcPr>
          <w:p w14:paraId="1ACA78F9" w14:textId="77777777" w:rsidR="00CD1F94" w:rsidRDefault="000B1A44">
            <w:pPr>
              <w:pStyle w:val="CellColumn"/>
              <w:jc w:val="right"/>
            </w:pPr>
            <w:r>
              <w:rPr>
                <w:rFonts w:cs="Times New Roman"/>
              </w:rPr>
              <w:t>1.150.481</w:t>
            </w:r>
          </w:p>
        </w:tc>
        <w:tc>
          <w:tcPr>
            <w:tcW w:w="1224" w:type="dxa"/>
            <w:shd w:val="clear" w:color="auto" w:fill="B5C0D8"/>
          </w:tcPr>
          <w:p w14:paraId="648FBA47" w14:textId="77777777" w:rsidR="00CD1F94" w:rsidRDefault="000B1A44">
            <w:pPr>
              <w:pStyle w:val="CellColumn"/>
              <w:jc w:val="right"/>
            </w:pPr>
            <w:r>
              <w:rPr>
                <w:rFonts w:cs="Times New Roman"/>
              </w:rPr>
              <w:t>75,3</w:t>
            </w:r>
          </w:p>
        </w:tc>
        <w:tc>
          <w:tcPr>
            <w:tcW w:w="1224" w:type="dxa"/>
            <w:shd w:val="clear" w:color="auto" w:fill="B5C0D8"/>
          </w:tcPr>
          <w:p w14:paraId="78EA1D1E" w14:textId="77777777" w:rsidR="00CD1F94" w:rsidRDefault="000B1A44">
            <w:pPr>
              <w:pStyle w:val="CellColumn"/>
              <w:jc w:val="right"/>
            </w:pPr>
            <w:r>
              <w:rPr>
                <w:rFonts w:cs="Times New Roman"/>
              </w:rPr>
              <w:t>118,3</w:t>
            </w:r>
          </w:p>
        </w:tc>
      </w:tr>
    </w:tbl>
    <w:p w14:paraId="7085E189" w14:textId="77777777" w:rsidR="00CD1F94" w:rsidRDefault="00CD1F94">
      <w:pPr>
        <w:jc w:val="left"/>
      </w:pPr>
    </w:p>
    <w:p w14:paraId="5B2A3E01" w14:textId="77777777" w:rsidR="00CD1F94" w:rsidRDefault="000B1A44">
      <w:pPr>
        <w:pStyle w:val="Naslov2"/>
      </w:pPr>
      <w:r>
        <w:t>02805 Središnji državni ured za središnju javnu nabavu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D1F94" w14:paraId="7BEA0A07" w14:textId="77777777">
        <w:trPr>
          <w:jc w:val="center"/>
        </w:trPr>
        <w:tc>
          <w:tcPr>
            <w:tcW w:w="1632" w:type="dxa"/>
            <w:shd w:val="clear" w:color="auto" w:fill="B5C0D8"/>
          </w:tcPr>
          <w:p w14:paraId="7E99824D" w14:textId="77777777" w:rsidR="00CD1F94" w:rsidRDefault="00CD1F94">
            <w:pPr>
              <w:pStyle w:val="CellHeader"/>
              <w:jc w:val="center"/>
            </w:pPr>
          </w:p>
        </w:tc>
        <w:tc>
          <w:tcPr>
            <w:tcW w:w="2041" w:type="dxa"/>
            <w:shd w:val="clear" w:color="auto" w:fill="B5C0D8"/>
          </w:tcPr>
          <w:p w14:paraId="6228D149" w14:textId="77777777" w:rsidR="00CD1F94" w:rsidRDefault="000B1A44">
            <w:pPr>
              <w:pStyle w:val="CellHeader"/>
              <w:jc w:val="center"/>
            </w:pPr>
            <w:r>
              <w:rPr>
                <w:rFonts w:cs="Times New Roman"/>
              </w:rPr>
              <w:t>Izvršenje 2023. (eur)</w:t>
            </w:r>
          </w:p>
        </w:tc>
        <w:tc>
          <w:tcPr>
            <w:tcW w:w="2041" w:type="dxa"/>
            <w:shd w:val="clear" w:color="auto" w:fill="B5C0D8"/>
          </w:tcPr>
          <w:p w14:paraId="52F1CD89" w14:textId="77777777" w:rsidR="00CD1F94" w:rsidRDefault="000B1A44">
            <w:pPr>
              <w:pStyle w:val="CellHeader"/>
              <w:jc w:val="center"/>
            </w:pPr>
            <w:r>
              <w:rPr>
                <w:rFonts w:cs="Times New Roman"/>
              </w:rPr>
              <w:t>Plan 2024. (eur)</w:t>
            </w:r>
          </w:p>
        </w:tc>
        <w:tc>
          <w:tcPr>
            <w:tcW w:w="2041" w:type="dxa"/>
            <w:shd w:val="clear" w:color="auto" w:fill="B5C0D8"/>
          </w:tcPr>
          <w:p w14:paraId="2166EFD1" w14:textId="77777777" w:rsidR="00CD1F94" w:rsidRDefault="000B1A44">
            <w:pPr>
              <w:pStyle w:val="CellHeader"/>
              <w:jc w:val="center"/>
            </w:pPr>
            <w:r>
              <w:rPr>
                <w:rFonts w:cs="Times New Roman"/>
              </w:rPr>
              <w:t>Izvršenje 2024. (eur)</w:t>
            </w:r>
          </w:p>
        </w:tc>
        <w:tc>
          <w:tcPr>
            <w:tcW w:w="1224" w:type="dxa"/>
            <w:shd w:val="clear" w:color="auto" w:fill="B5C0D8"/>
          </w:tcPr>
          <w:p w14:paraId="050ADFC0" w14:textId="77777777" w:rsidR="00CD1F94" w:rsidRDefault="000B1A44">
            <w:pPr>
              <w:pStyle w:val="CellHeader"/>
              <w:jc w:val="center"/>
            </w:pPr>
            <w:r>
              <w:rPr>
                <w:rFonts w:cs="Times New Roman"/>
              </w:rPr>
              <w:t>Indeks izvršenje 2024./plan 2024.</w:t>
            </w:r>
          </w:p>
        </w:tc>
        <w:tc>
          <w:tcPr>
            <w:tcW w:w="1224" w:type="dxa"/>
            <w:shd w:val="clear" w:color="auto" w:fill="B5C0D8"/>
          </w:tcPr>
          <w:p w14:paraId="0D366C6B" w14:textId="77777777" w:rsidR="00CD1F94" w:rsidRDefault="000B1A44">
            <w:pPr>
              <w:pStyle w:val="CellHeader"/>
              <w:jc w:val="center"/>
            </w:pPr>
            <w:r>
              <w:rPr>
                <w:rFonts w:cs="Times New Roman"/>
              </w:rPr>
              <w:t>Indeks izvršenje 2024./2023.</w:t>
            </w:r>
          </w:p>
        </w:tc>
      </w:tr>
      <w:tr w:rsidR="00CD1F94" w14:paraId="56CE3D22" w14:textId="77777777">
        <w:trPr>
          <w:jc w:val="center"/>
        </w:trPr>
        <w:tc>
          <w:tcPr>
            <w:tcW w:w="1632" w:type="dxa"/>
            <w:vAlign w:val="top"/>
          </w:tcPr>
          <w:p w14:paraId="5C8FA17B" w14:textId="77777777" w:rsidR="00CD1F94" w:rsidRDefault="000B1A44">
            <w:pPr>
              <w:pStyle w:val="CellColumn"/>
              <w:jc w:val="left"/>
            </w:pPr>
            <w:r>
              <w:rPr>
                <w:rFonts w:cs="Times New Roman"/>
              </w:rPr>
              <w:t>02805-Središnji državni ured za središnju javnu nabavu</w:t>
            </w:r>
          </w:p>
        </w:tc>
        <w:tc>
          <w:tcPr>
            <w:tcW w:w="2041" w:type="dxa"/>
            <w:vAlign w:val="top"/>
          </w:tcPr>
          <w:p w14:paraId="0D32DE1A" w14:textId="77777777" w:rsidR="00CD1F94" w:rsidRDefault="000B1A44">
            <w:pPr>
              <w:pStyle w:val="CellColumn"/>
              <w:jc w:val="right"/>
            </w:pPr>
            <w:r>
              <w:rPr>
                <w:rFonts w:cs="Times New Roman"/>
              </w:rPr>
              <w:t>972.196</w:t>
            </w:r>
          </w:p>
        </w:tc>
        <w:tc>
          <w:tcPr>
            <w:tcW w:w="2041" w:type="dxa"/>
            <w:vAlign w:val="top"/>
          </w:tcPr>
          <w:p w14:paraId="737F4CEE" w14:textId="77777777" w:rsidR="00CD1F94" w:rsidRDefault="000B1A44">
            <w:pPr>
              <w:pStyle w:val="CellColumn"/>
              <w:jc w:val="right"/>
            </w:pPr>
            <w:r>
              <w:rPr>
                <w:rFonts w:cs="Times New Roman"/>
              </w:rPr>
              <w:t>1.528.215</w:t>
            </w:r>
          </w:p>
        </w:tc>
        <w:tc>
          <w:tcPr>
            <w:tcW w:w="2041" w:type="dxa"/>
            <w:vAlign w:val="top"/>
          </w:tcPr>
          <w:p w14:paraId="75B73D38" w14:textId="77777777" w:rsidR="00CD1F94" w:rsidRDefault="000B1A44">
            <w:pPr>
              <w:pStyle w:val="CellColumn"/>
              <w:jc w:val="right"/>
            </w:pPr>
            <w:r>
              <w:rPr>
                <w:rFonts w:cs="Times New Roman"/>
              </w:rPr>
              <w:t>1.150.481</w:t>
            </w:r>
          </w:p>
        </w:tc>
        <w:tc>
          <w:tcPr>
            <w:tcW w:w="1224" w:type="dxa"/>
            <w:vAlign w:val="top"/>
          </w:tcPr>
          <w:p w14:paraId="11B489CE" w14:textId="77777777" w:rsidR="00CD1F94" w:rsidRDefault="000B1A44">
            <w:pPr>
              <w:pStyle w:val="CellColumn"/>
              <w:jc w:val="right"/>
            </w:pPr>
            <w:r>
              <w:rPr>
                <w:rFonts w:cs="Times New Roman"/>
              </w:rPr>
              <w:t>75,3</w:t>
            </w:r>
          </w:p>
        </w:tc>
        <w:tc>
          <w:tcPr>
            <w:tcW w:w="1224" w:type="dxa"/>
            <w:vAlign w:val="top"/>
          </w:tcPr>
          <w:p w14:paraId="56174C12" w14:textId="77777777" w:rsidR="00CD1F94" w:rsidRDefault="000B1A44">
            <w:pPr>
              <w:pStyle w:val="CellColumn"/>
              <w:jc w:val="right"/>
            </w:pPr>
            <w:r>
              <w:rPr>
                <w:rFonts w:cs="Times New Roman"/>
              </w:rPr>
              <w:t>118,3</w:t>
            </w:r>
          </w:p>
        </w:tc>
      </w:tr>
      <w:tr w:rsidR="00CD1F94" w14:paraId="08C867F0" w14:textId="77777777">
        <w:trPr>
          <w:jc w:val="center"/>
        </w:trPr>
        <w:tc>
          <w:tcPr>
            <w:tcW w:w="1632" w:type="dxa"/>
          </w:tcPr>
          <w:p w14:paraId="410C1F16" w14:textId="77777777" w:rsidR="00CD1F94" w:rsidRDefault="000B1A44">
            <w:pPr>
              <w:jc w:val="left"/>
            </w:pPr>
            <w:r>
              <w:t>2411-SREDIŠNJA JAVNA NABAVA</w:t>
            </w:r>
          </w:p>
        </w:tc>
        <w:tc>
          <w:tcPr>
            <w:tcW w:w="2041" w:type="dxa"/>
          </w:tcPr>
          <w:p w14:paraId="091171C0" w14:textId="77777777" w:rsidR="00CD1F94" w:rsidRDefault="000B1A44">
            <w:pPr>
              <w:jc w:val="right"/>
            </w:pPr>
            <w:r>
              <w:t>972.196</w:t>
            </w:r>
          </w:p>
        </w:tc>
        <w:tc>
          <w:tcPr>
            <w:tcW w:w="2041" w:type="dxa"/>
          </w:tcPr>
          <w:p w14:paraId="7D4595A8" w14:textId="77777777" w:rsidR="00CD1F94" w:rsidRDefault="000B1A44">
            <w:pPr>
              <w:jc w:val="right"/>
            </w:pPr>
            <w:r>
              <w:t>1.528.215</w:t>
            </w:r>
          </w:p>
        </w:tc>
        <w:tc>
          <w:tcPr>
            <w:tcW w:w="2041" w:type="dxa"/>
          </w:tcPr>
          <w:p w14:paraId="718B5619" w14:textId="77777777" w:rsidR="00CD1F94" w:rsidRDefault="000B1A44">
            <w:pPr>
              <w:jc w:val="right"/>
            </w:pPr>
            <w:r>
              <w:t>1.150.481</w:t>
            </w:r>
          </w:p>
        </w:tc>
        <w:tc>
          <w:tcPr>
            <w:tcW w:w="1224" w:type="dxa"/>
          </w:tcPr>
          <w:p w14:paraId="0972F7E5" w14:textId="77777777" w:rsidR="00CD1F94" w:rsidRDefault="000B1A44">
            <w:pPr>
              <w:jc w:val="right"/>
            </w:pPr>
            <w:r>
              <w:t>75,3</w:t>
            </w:r>
          </w:p>
        </w:tc>
        <w:tc>
          <w:tcPr>
            <w:tcW w:w="1224" w:type="dxa"/>
          </w:tcPr>
          <w:p w14:paraId="1A9CB495" w14:textId="77777777" w:rsidR="00CD1F94" w:rsidRDefault="000B1A44">
            <w:pPr>
              <w:jc w:val="right"/>
            </w:pPr>
            <w:r>
              <w:t>118,3</w:t>
            </w:r>
          </w:p>
        </w:tc>
      </w:tr>
    </w:tbl>
    <w:p w14:paraId="0B481152" w14:textId="77777777" w:rsidR="00CD1F94" w:rsidRDefault="00CD1F94">
      <w:pPr>
        <w:jc w:val="left"/>
      </w:pPr>
    </w:p>
    <w:p w14:paraId="66CD33EE" w14:textId="77777777" w:rsidR="00CD1F94" w:rsidRDefault="000B1A44">
      <w:pPr>
        <w:pStyle w:val="Naslov3"/>
      </w:pPr>
      <w:r>
        <w:rPr>
          <w:rFonts w:cs="Times New Roman"/>
        </w:rPr>
        <w:t>2411 SREDIŠNJA JAVNA NABAVA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D1F94" w14:paraId="75021444" w14:textId="77777777">
        <w:trPr>
          <w:jc w:val="center"/>
        </w:trPr>
        <w:tc>
          <w:tcPr>
            <w:tcW w:w="1632" w:type="dxa"/>
            <w:shd w:val="clear" w:color="auto" w:fill="B5C0D8"/>
          </w:tcPr>
          <w:p w14:paraId="694E13B1" w14:textId="77777777" w:rsidR="00CD1F94" w:rsidRDefault="00CD1F94">
            <w:pPr>
              <w:pStyle w:val="CellHeader"/>
              <w:jc w:val="center"/>
            </w:pPr>
          </w:p>
        </w:tc>
        <w:tc>
          <w:tcPr>
            <w:tcW w:w="2041" w:type="dxa"/>
            <w:shd w:val="clear" w:color="auto" w:fill="B5C0D8"/>
          </w:tcPr>
          <w:p w14:paraId="73564C28" w14:textId="77777777" w:rsidR="00CD1F94" w:rsidRDefault="000B1A44">
            <w:pPr>
              <w:pStyle w:val="CellHeader"/>
              <w:jc w:val="center"/>
            </w:pPr>
            <w:r>
              <w:rPr>
                <w:rFonts w:cs="Times New Roman"/>
              </w:rPr>
              <w:t>Izvršenje 2023. (eur)</w:t>
            </w:r>
          </w:p>
        </w:tc>
        <w:tc>
          <w:tcPr>
            <w:tcW w:w="2041" w:type="dxa"/>
            <w:shd w:val="clear" w:color="auto" w:fill="B5C0D8"/>
          </w:tcPr>
          <w:p w14:paraId="50B49916" w14:textId="77777777" w:rsidR="00CD1F94" w:rsidRDefault="000B1A44">
            <w:pPr>
              <w:pStyle w:val="CellHeader"/>
              <w:jc w:val="center"/>
            </w:pPr>
            <w:r>
              <w:rPr>
                <w:rFonts w:cs="Times New Roman"/>
              </w:rPr>
              <w:t>Plan 2024. (eur)</w:t>
            </w:r>
          </w:p>
        </w:tc>
        <w:tc>
          <w:tcPr>
            <w:tcW w:w="2041" w:type="dxa"/>
            <w:shd w:val="clear" w:color="auto" w:fill="B5C0D8"/>
          </w:tcPr>
          <w:p w14:paraId="3B61B2E4" w14:textId="77777777" w:rsidR="00CD1F94" w:rsidRDefault="000B1A44">
            <w:pPr>
              <w:pStyle w:val="CellHeader"/>
              <w:jc w:val="center"/>
            </w:pPr>
            <w:r>
              <w:rPr>
                <w:rFonts w:cs="Times New Roman"/>
              </w:rPr>
              <w:t>Izvršenje 2024. (eur)</w:t>
            </w:r>
          </w:p>
        </w:tc>
        <w:tc>
          <w:tcPr>
            <w:tcW w:w="1224" w:type="dxa"/>
            <w:shd w:val="clear" w:color="auto" w:fill="B5C0D8"/>
          </w:tcPr>
          <w:p w14:paraId="2E189CC3" w14:textId="77777777" w:rsidR="00CD1F94" w:rsidRDefault="000B1A44">
            <w:pPr>
              <w:pStyle w:val="CellHeader"/>
              <w:jc w:val="center"/>
            </w:pPr>
            <w:r>
              <w:rPr>
                <w:rFonts w:cs="Times New Roman"/>
              </w:rPr>
              <w:t>Indeks izvršenje 2024./plan 2024.</w:t>
            </w:r>
          </w:p>
        </w:tc>
        <w:tc>
          <w:tcPr>
            <w:tcW w:w="1224" w:type="dxa"/>
            <w:shd w:val="clear" w:color="auto" w:fill="B5C0D8"/>
          </w:tcPr>
          <w:p w14:paraId="0142A6B5" w14:textId="77777777" w:rsidR="00CD1F94" w:rsidRDefault="000B1A44">
            <w:pPr>
              <w:pStyle w:val="CellHeader"/>
              <w:jc w:val="center"/>
            </w:pPr>
            <w:r>
              <w:rPr>
                <w:rFonts w:cs="Times New Roman"/>
              </w:rPr>
              <w:t>Index izvršenje 2024./2023.</w:t>
            </w:r>
          </w:p>
        </w:tc>
      </w:tr>
      <w:tr w:rsidR="00CD1F94" w14:paraId="4ED19A6A" w14:textId="77777777">
        <w:trPr>
          <w:jc w:val="center"/>
        </w:trPr>
        <w:tc>
          <w:tcPr>
            <w:tcW w:w="1632" w:type="dxa"/>
          </w:tcPr>
          <w:p w14:paraId="6BD05C7A" w14:textId="77777777" w:rsidR="00CD1F94" w:rsidRDefault="000B1A44">
            <w:pPr>
              <w:pStyle w:val="CellColumn"/>
              <w:jc w:val="left"/>
            </w:pPr>
            <w:r>
              <w:rPr>
                <w:rFonts w:cs="Times New Roman"/>
              </w:rPr>
              <w:lastRenderedPageBreak/>
              <w:t>2411-SREDIŠNJA JAVNA NABAVA</w:t>
            </w:r>
          </w:p>
        </w:tc>
        <w:tc>
          <w:tcPr>
            <w:tcW w:w="2041" w:type="dxa"/>
          </w:tcPr>
          <w:p w14:paraId="3378AFBA" w14:textId="77777777" w:rsidR="00CD1F94" w:rsidRDefault="000B1A44">
            <w:pPr>
              <w:pStyle w:val="CellColumn"/>
              <w:jc w:val="right"/>
            </w:pPr>
            <w:r>
              <w:rPr>
                <w:rFonts w:cs="Times New Roman"/>
              </w:rPr>
              <w:t>972.196</w:t>
            </w:r>
          </w:p>
        </w:tc>
        <w:tc>
          <w:tcPr>
            <w:tcW w:w="2041" w:type="dxa"/>
          </w:tcPr>
          <w:p w14:paraId="37FA52B4" w14:textId="77777777" w:rsidR="00CD1F94" w:rsidRDefault="000B1A44">
            <w:pPr>
              <w:pStyle w:val="CellColumn"/>
              <w:jc w:val="right"/>
            </w:pPr>
            <w:r>
              <w:rPr>
                <w:rFonts w:cs="Times New Roman"/>
              </w:rPr>
              <w:t>1.528.215</w:t>
            </w:r>
          </w:p>
        </w:tc>
        <w:tc>
          <w:tcPr>
            <w:tcW w:w="2041" w:type="dxa"/>
          </w:tcPr>
          <w:p w14:paraId="19439EF5" w14:textId="77777777" w:rsidR="00CD1F94" w:rsidRDefault="000B1A44">
            <w:pPr>
              <w:pStyle w:val="CellColumn"/>
              <w:jc w:val="right"/>
            </w:pPr>
            <w:r>
              <w:rPr>
                <w:rFonts w:cs="Times New Roman"/>
              </w:rPr>
              <w:t>1.150.481</w:t>
            </w:r>
          </w:p>
        </w:tc>
        <w:tc>
          <w:tcPr>
            <w:tcW w:w="1224" w:type="dxa"/>
          </w:tcPr>
          <w:p w14:paraId="5235CF21" w14:textId="77777777" w:rsidR="00CD1F94" w:rsidRDefault="000B1A44">
            <w:pPr>
              <w:pStyle w:val="CellColumn"/>
              <w:jc w:val="right"/>
            </w:pPr>
            <w:r>
              <w:rPr>
                <w:rFonts w:cs="Times New Roman"/>
              </w:rPr>
              <w:t>75,3</w:t>
            </w:r>
          </w:p>
        </w:tc>
        <w:tc>
          <w:tcPr>
            <w:tcW w:w="1224" w:type="dxa"/>
          </w:tcPr>
          <w:p w14:paraId="755812AE" w14:textId="77777777" w:rsidR="00CD1F94" w:rsidRDefault="000B1A44">
            <w:pPr>
              <w:pStyle w:val="CellColumn"/>
              <w:jc w:val="right"/>
            </w:pPr>
            <w:r>
              <w:rPr>
                <w:rFonts w:cs="Times New Roman"/>
              </w:rPr>
              <w:t>118,3</w:t>
            </w:r>
          </w:p>
        </w:tc>
      </w:tr>
    </w:tbl>
    <w:p w14:paraId="5A1DC26D" w14:textId="77777777" w:rsidR="00CD1F94" w:rsidRDefault="00CD1F94">
      <w:pPr>
        <w:jc w:val="left"/>
      </w:pPr>
    </w:p>
    <w:p w14:paraId="42B8BB58" w14:textId="77777777" w:rsidR="00CD1F94" w:rsidRDefault="000B1A44">
      <w:r>
        <w:t>Uspostavljanje učinkovitog sustava središnje javne nabave koji će osigurati nabavu robe i usluga po principu najbolje vrijednosti za novac, a u cilju ostvarivanja ušteda u javnoj potrošnji, uvažavajući ekološka i socijalno prihvatljiva načela, održivu nabavu, te poticanje malog i srednjeg poduzetništva.</w:t>
      </w:r>
    </w:p>
    <w:p w14:paraId="43F80073" w14:textId="77777777" w:rsidR="00CD1F94" w:rsidRDefault="000B1A44">
      <w:pPr>
        <w:pStyle w:val="Naslov8"/>
        <w:jc w:val="left"/>
      </w:pPr>
      <w:r>
        <w:t xml:space="preserve">Cilj 1. Razvoj suvremene nabavne funkcije na razini obveznika/korisnika središnje javne nabave  </w:t>
      </w:r>
    </w:p>
    <w:p w14:paraId="1C3621AF" w14:textId="77777777" w:rsidR="00CD1F94" w:rsidRDefault="000B1A44">
      <w:pPr>
        <w:pStyle w:val="Naslov8"/>
        <w:jc w:val="left"/>
      </w:pPr>
      <w:r>
        <w:t>Opis provedbe cilja programa</w:t>
      </w:r>
    </w:p>
    <w:p w14:paraId="63B6EB3F" w14:textId="77777777" w:rsidR="00CD1F94" w:rsidRDefault="000B1A44">
      <w:r>
        <w:t>Provedbom postupaka javne nabave Središnjeg državnog ureda tijekom 2024. godine sklopljeni su okvirni sporazumi u četiri postupaka javne nabave ukupno vrijednosti cca 77.431.050,00 eura bez PDV-a, a koji postupci su započeti u 2023. godini. Također su za devet postupka nabave započeta u 2024. godini ukupne vrijednosti cca 138.396.478,00 eura bez PDV-a sklopljeni okvirni sporazumi. Okvrini sporazumi sklapani su i temeljem uspostavljenog dinamičkog sustava nabave za koje je Središnji državni ured radio mini n</w:t>
      </w:r>
      <w:r>
        <w:t xml:space="preserve">admetanja i isti su bili vrijednosti cca 1.676.220 eura bez PDV-a.  </w:t>
      </w:r>
    </w:p>
    <w:p w14:paraId="7B6BC452" w14:textId="77777777" w:rsidR="00CD1F94" w:rsidRDefault="000B1A44">
      <w:r>
        <w:t>Planirana ušteda u proračunu u 2024. godini je dostignuta iako se je povećala cijena poštanskih usluga.</w:t>
      </w:r>
    </w:p>
    <w:p w14:paraId="70578854" w14:textId="77777777" w:rsidR="00CD1F94" w:rsidRDefault="000B1A44">
      <w:pPr>
        <w:pStyle w:val="Naslov8"/>
        <w:jc w:val="left"/>
      </w:pPr>
      <w:r>
        <w:t>Pokazatelji učinka</w:t>
      </w:r>
    </w:p>
    <w:tbl>
      <w:tblPr>
        <w:tblStyle w:val="StilTablice"/>
        <w:tblW w:w="10206" w:type="dxa"/>
        <w:jc w:val="center"/>
        <w:tblLook w:val="04A0" w:firstRow="1" w:lastRow="0" w:firstColumn="1" w:lastColumn="0" w:noHBand="0" w:noVBand="1"/>
      </w:tblPr>
      <w:tblGrid>
        <w:gridCol w:w="2438"/>
        <w:gridCol w:w="2467"/>
        <w:gridCol w:w="1114"/>
        <w:gridCol w:w="1013"/>
        <w:gridCol w:w="1148"/>
        <w:gridCol w:w="1013"/>
        <w:gridCol w:w="1013"/>
      </w:tblGrid>
      <w:tr w:rsidR="00CD1F94" w14:paraId="5EE59E58" w14:textId="77777777">
        <w:trPr>
          <w:jc w:val="center"/>
        </w:trPr>
        <w:tc>
          <w:tcPr>
            <w:tcW w:w="2551" w:type="dxa"/>
            <w:shd w:val="clear" w:color="auto" w:fill="B5C0D8"/>
          </w:tcPr>
          <w:p w14:paraId="6915F92C" w14:textId="77777777" w:rsidR="00CD1F94" w:rsidRDefault="000B1A44">
            <w:pPr>
              <w:jc w:val="center"/>
            </w:pPr>
            <w:r>
              <w:t>Pokazatelj učinka</w:t>
            </w:r>
          </w:p>
        </w:tc>
        <w:tc>
          <w:tcPr>
            <w:tcW w:w="2551" w:type="dxa"/>
            <w:shd w:val="clear" w:color="auto" w:fill="B5C0D8"/>
          </w:tcPr>
          <w:p w14:paraId="0B04F42A" w14:textId="77777777" w:rsidR="00CD1F94" w:rsidRDefault="000B1A44">
            <w:pPr>
              <w:pStyle w:val="CellHeader"/>
              <w:jc w:val="center"/>
            </w:pPr>
            <w:r>
              <w:rPr>
                <w:rFonts w:cs="Times New Roman"/>
              </w:rPr>
              <w:t>Definicija</w:t>
            </w:r>
          </w:p>
        </w:tc>
        <w:tc>
          <w:tcPr>
            <w:tcW w:w="1020" w:type="dxa"/>
            <w:shd w:val="clear" w:color="auto" w:fill="B5C0D8"/>
          </w:tcPr>
          <w:p w14:paraId="5817A74E" w14:textId="77777777" w:rsidR="00CD1F94" w:rsidRDefault="000B1A44">
            <w:pPr>
              <w:pStyle w:val="CellHeader"/>
              <w:jc w:val="center"/>
            </w:pPr>
            <w:r>
              <w:rPr>
                <w:rFonts w:cs="Times New Roman"/>
              </w:rPr>
              <w:t>Jedinica</w:t>
            </w:r>
          </w:p>
        </w:tc>
        <w:tc>
          <w:tcPr>
            <w:tcW w:w="1020" w:type="dxa"/>
            <w:shd w:val="clear" w:color="auto" w:fill="B5C0D8"/>
          </w:tcPr>
          <w:p w14:paraId="1E7A3015" w14:textId="77777777" w:rsidR="00CD1F94" w:rsidRDefault="000B1A44">
            <w:pPr>
              <w:pStyle w:val="CellHeader"/>
              <w:jc w:val="center"/>
            </w:pPr>
            <w:r>
              <w:rPr>
                <w:rFonts w:cs="Times New Roman"/>
              </w:rPr>
              <w:t>Polazna vrijednost</w:t>
            </w:r>
          </w:p>
        </w:tc>
        <w:tc>
          <w:tcPr>
            <w:tcW w:w="918" w:type="dxa"/>
            <w:shd w:val="clear" w:color="auto" w:fill="B5C0D8"/>
          </w:tcPr>
          <w:p w14:paraId="509359D0" w14:textId="77777777" w:rsidR="00CD1F94" w:rsidRDefault="000B1A44">
            <w:pPr>
              <w:pStyle w:val="CellHeader"/>
              <w:jc w:val="center"/>
            </w:pPr>
            <w:r>
              <w:rPr>
                <w:rFonts w:cs="Times New Roman"/>
              </w:rPr>
              <w:t>Izvor podataka</w:t>
            </w:r>
          </w:p>
        </w:tc>
        <w:tc>
          <w:tcPr>
            <w:tcW w:w="1020" w:type="dxa"/>
            <w:shd w:val="clear" w:color="auto" w:fill="B5C0D8"/>
          </w:tcPr>
          <w:p w14:paraId="3FE965A4" w14:textId="77777777" w:rsidR="00CD1F94" w:rsidRDefault="000B1A44">
            <w:pPr>
              <w:pStyle w:val="CellHeader"/>
              <w:jc w:val="center"/>
            </w:pPr>
            <w:r>
              <w:rPr>
                <w:rFonts w:cs="Times New Roman"/>
              </w:rPr>
              <w:t>Ciljana vrijednost (2024.)</w:t>
            </w:r>
          </w:p>
        </w:tc>
        <w:tc>
          <w:tcPr>
            <w:tcW w:w="1020" w:type="dxa"/>
            <w:shd w:val="clear" w:color="auto" w:fill="B5C0D8"/>
          </w:tcPr>
          <w:p w14:paraId="77ED1FB0" w14:textId="77777777" w:rsidR="00CD1F94" w:rsidRDefault="000B1A44">
            <w:pPr>
              <w:pStyle w:val="CellHeader"/>
              <w:jc w:val="center"/>
            </w:pPr>
            <w:r>
              <w:rPr>
                <w:rFonts w:cs="Times New Roman"/>
              </w:rPr>
              <w:t>Ostvarena vrijednost (2024.)</w:t>
            </w:r>
          </w:p>
        </w:tc>
      </w:tr>
      <w:tr w:rsidR="00CD1F94" w14:paraId="2576F801" w14:textId="77777777">
        <w:trPr>
          <w:jc w:val="center"/>
        </w:trPr>
        <w:tc>
          <w:tcPr>
            <w:tcW w:w="2551" w:type="dxa"/>
          </w:tcPr>
          <w:p w14:paraId="29F8761A" w14:textId="77777777" w:rsidR="00CD1F94" w:rsidRDefault="000B1A44">
            <w:pPr>
              <w:pStyle w:val="CellColumn"/>
              <w:jc w:val="left"/>
            </w:pPr>
            <w:r>
              <w:rPr>
                <w:rFonts w:cs="Times New Roman"/>
              </w:rPr>
              <w:t>Ostvarene uštede u proračunu</w:t>
            </w:r>
          </w:p>
        </w:tc>
        <w:tc>
          <w:tcPr>
            <w:tcW w:w="2551" w:type="dxa"/>
          </w:tcPr>
          <w:p w14:paraId="3BD79F02" w14:textId="77777777" w:rsidR="00CD1F94" w:rsidRDefault="000B1A44">
            <w:pPr>
              <w:pStyle w:val="CellColumn"/>
              <w:jc w:val="left"/>
            </w:pPr>
            <w:r>
              <w:rPr>
                <w:rFonts w:cs="Times New Roman"/>
              </w:rPr>
              <w:t>Postizanje direktnih ušteda kroz smanjenje ugovorenih jediničnih cijena te postizanje indirektnih ušteda kroz administrativne uštede i dodatne učinke</w:t>
            </w:r>
          </w:p>
        </w:tc>
        <w:tc>
          <w:tcPr>
            <w:tcW w:w="1020" w:type="dxa"/>
          </w:tcPr>
          <w:p w14:paraId="59FBE837" w14:textId="77777777" w:rsidR="00CD1F94" w:rsidRDefault="000B1A44">
            <w:pPr>
              <w:pStyle w:val="CellColumn"/>
              <w:jc w:val="right"/>
            </w:pPr>
            <w:r>
              <w:rPr>
                <w:rFonts w:cs="Times New Roman"/>
              </w:rPr>
              <w:t>prosječni postotak ušteda u odnosu na procijenjenu vrijednost nabave u postupcima te godine</w:t>
            </w:r>
          </w:p>
        </w:tc>
        <w:tc>
          <w:tcPr>
            <w:tcW w:w="1020" w:type="dxa"/>
          </w:tcPr>
          <w:p w14:paraId="300873AD" w14:textId="77777777" w:rsidR="00CD1F94" w:rsidRDefault="000B1A44">
            <w:pPr>
              <w:pStyle w:val="CellColumn"/>
              <w:jc w:val="right"/>
            </w:pPr>
            <w:r>
              <w:rPr>
                <w:rFonts w:cs="Times New Roman"/>
              </w:rPr>
              <w:t>5-10%</w:t>
            </w:r>
          </w:p>
        </w:tc>
        <w:tc>
          <w:tcPr>
            <w:tcW w:w="1020" w:type="dxa"/>
          </w:tcPr>
          <w:p w14:paraId="4F4A8AB0" w14:textId="77777777" w:rsidR="00CD1F94" w:rsidRDefault="000B1A44">
            <w:pPr>
              <w:pStyle w:val="CellColumn"/>
              <w:jc w:val="right"/>
            </w:pPr>
            <w:r>
              <w:rPr>
                <w:rFonts w:cs="Times New Roman"/>
              </w:rPr>
              <w:t>okvirni sporazumi sklopljeni između Središnjeg državnog ureda i odabranih ponuditelja te ugovori pojedinačnih naručitelja</w:t>
            </w:r>
          </w:p>
        </w:tc>
        <w:tc>
          <w:tcPr>
            <w:tcW w:w="1020" w:type="dxa"/>
          </w:tcPr>
          <w:p w14:paraId="79B76FC7" w14:textId="77777777" w:rsidR="00CD1F94" w:rsidRDefault="000B1A44">
            <w:pPr>
              <w:pStyle w:val="CellColumn"/>
              <w:jc w:val="right"/>
            </w:pPr>
            <w:r>
              <w:rPr>
                <w:rFonts w:cs="Times New Roman"/>
              </w:rPr>
              <w:t>5-10%</w:t>
            </w:r>
          </w:p>
        </w:tc>
        <w:tc>
          <w:tcPr>
            <w:tcW w:w="1020" w:type="dxa"/>
          </w:tcPr>
          <w:p w14:paraId="0D483070" w14:textId="77777777" w:rsidR="00CD1F94" w:rsidRDefault="000B1A44">
            <w:pPr>
              <w:pStyle w:val="CellColumn"/>
              <w:jc w:val="right"/>
            </w:pPr>
            <w:r>
              <w:rPr>
                <w:rFonts w:cs="Times New Roman"/>
              </w:rPr>
              <w:t>8%</w:t>
            </w:r>
          </w:p>
        </w:tc>
      </w:tr>
    </w:tbl>
    <w:p w14:paraId="6015047F" w14:textId="77777777" w:rsidR="00CD1F94" w:rsidRDefault="00CD1F94">
      <w:pPr>
        <w:jc w:val="left"/>
      </w:pPr>
    </w:p>
    <w:p w14:paraId="215A5694" w14:textId="77777777" w:rsidR="00CD1F94" w:rsidRDefault="000B1A44">
      <w:pPr>
        <w:pStyle w:val="Naslov4"/>
      </w:pPr>
      <w:r>
        <w:t>A857001 ADMINISTRACIJA I UPRAVLJANJE</w:t>
      </w:r>
    </w:p>
    <w:tbl>
      <w:tblPr>
        <w:tblStyle w:val="StilTablice"/>
        <w:tblW w:w="10206" w:type="dxa"/>
        <w:jc w:val="center"/>
        <w:tblLook w:val="04A0" w:firstRow="1" w:lastRow="0" w:firstColumn="1" w:lastColumn="0" w:noHBand="0" w:noVBand="1"/>
      </w:tblPr>
      <w:tblGrid>
        <w:gridCol w:w="1793"/>
        <w:gridCol w:w="1992"/>
        <w:gridCol w:w="1995"/>
        <w:gridCol w:w="1995"/>
        <w:gridCol w:w="1213"/>
        <w:gridCol w:w="1218"/>
      </w:tblGrid>
      <w:tr w:rsidR="00CD1F94" w14:paraId="565EC84C" w14:textId="77777777">
        <w:trPr>
          <w:jc w:val="center"/>
        </w:trPr>
        <w:tc>
          <w:tcPr>
            <w:tcW w:w="1632" w:type="dxa"/>
            <w:shd w:val="clear" w:color="auto" w:fill="B5C0D8"/>
          </w:tcPr>
          <w:p w14:paraId="21B82876" w14:textId="77777777" w:rsidR="00CD1F94" w:rsidRDefault="000B1A44">
            <w:pPr>
              <w:pStyle w:val="CellHeader"/>
              <w:jc w:val="center"/>
            </w:pPr>
            <w:r>
              <w:rPr>
                <w:rFonts w:cs="Times New Roman"/>
              </w:rPr>
              <w:t>Naziv aktivnosti</w:t>
            </w:r>
          </w:p>
        </w:tc>
        <w:tc>
          <w:tcPr>
            <w:tcW w:w="2041" w:type="dxa"/>
            <w:shd w:val="clear" w:color="auto" w:fill="B5C0D8"/>
          </w:tcPr>
          <w:p w14:paraId="30F4EF4A" w14:textId="77777777" w:rsidR="00CD1F94" w:rsidRDefault="000B1A44">
            <w:pPr>
              <w:pStyle w:val="CellHeader"/>
              <w:jc w:val="center"/>
            </w:pPr>
            <w:r>
              <w:rPr>
                <w:rFonts w:cs="Times New Roman"/>
              </w:rPr>
              <w:t>Izvršenje 2023. (eur)</w:t>
            </w:r>
          </w:p>
        </w:tc>
        <w:tc>
          <w:tcPr>
            <w:tcW w:w="2041" w:type="dxa"/>
            <w:shd w:val="clear" w:color="auto" w:fill="B5C0D8"/>
          </w:tcPr>
          <w:p w14:paraId="3F8CBB1B" w14:textId="77777777" w:rsidR="00CD1F94" w:rsidRDefault="000B1A44">
            <w:pPr>
              <w:pStyle w:val="CellHeader"/>
              <w:jc w:val="center"/>
            </w:pPr>
            <w:r>
              <w:rPr>
                <w:rFonts w:cs="Times New Roman"/>
              </w:rPr>
              <w:t>Plan 2024. (eur)</w:t>
            </w:r>
          </w:p>
        </w:tc>
        <w:tc>
          <w:tcPr>
            <w:tcW w:w="2041" w:type="dxa"/>
            <w:shd w:val="clear" w:color="auto" w:fill="B5C0D8"/>
          </w:tcPr>
          <w:p w14:paraId="14F2D0C1" w14:textId="77777777" w:rsidR="00CD1F94" w:rsidRDefault="000B1A44">
            <w:pPr>
              <w:pStyle w:val="CellHeader"/>
              <w:jc w:val="center"/>
            </w:pPr>
            <w:r>
              <w:rPr>
                <w:rFonts w:cs="Times New Roman"/>
              </w:rPr>
              <w:t>Izvršenje 2024. (eur)</w:t>
            </w:r>
          </w:p>
        </w:tc>
        <w:tc>
          <w:tcPr>
            <w:tcW w:w="1224" w:type="dxa"/>
            <w:shd w:val="clear" w:color="auto" w:fill="B5C0D8"/>
          </w:tcPr>
          <w:p w14:paraId="423F3CB4" w14:textId="77777777" w:rsidR="00CD1F94" w:rsidRDefault="000B1A44">
            <w:pPr>
              <w:pStyle w:val="CellHeader"/>
              <w:jc w:val="center"/>
            </w:pPr>
            <w:r>
              <w:rPr>
                <w:rFonts w:cs="Times New Roman"/>
              </w:rPr>
              <w:t>Indeks izvršenje 2024./plan 2024.</w:t>
            </w:r>
          </w:p>
        </w:tc>
        <w:tc>
          <w:tcPr>
            <w:tcW w:w="1224" w:type="dxa"/>
            <w:shd w:val="clear" w:color="auto" w:fill="B5C0D8"/>
          </w:tcPr>
          <w:p w14:paraId="0F088EE6" w14:textId="77777777" w:rsidR="00CD1F94" w:rsidRDefault="000B1A44">
            <w:pPr>
              <w:pStyle w:val="CellHeader"/>
              <w:jc w:val="center"/>
            </w:pPr>
            <w:r>
              <w:rPr>
                <w:rFonts w:cs="Times New Roman"/>
              </w:rPr>
              <w:t>Indeks izvršenje 2024./2023.</w:t>
            </w:r>
          </w:p>
        </w:tc>
      </w:tr>
      <w:tr w:rsidR="00CD1F94" w14:paraId="6A38009A" w14:textId="77777777">
        <w:trPr>
          <w:jc w:val="center"/>
        </w:trPr>
        <w:tc>
          <w:tcPr>
            <w:tcW w:w="1632" w:type="dxa"/>
          </w:tcPr>
          <w:p w14:paraId="0D36F509" w14:textId="77777777" w:rsidR="00CD1F94" w:rsidRDefault="000B1A44">
            <w:pPr>
              <w:pStyle w:val="CellColumn"/>
              <w:jc w:val="left"/>
            </w:pPr>
            <w:r>
              <w:rPr>
                <w:rFonts w:cs="Times New Roman"/>
              </w:rPr>
              <w:t>A857001-ADMINISTRACIJA I UPRAVLJANJE</w:t>
            </w:r>
          </w:p>
        </w:tc>
        <w:tc>
          <w:tcPr>
            <w:tcW w:w="2041" w:type="dxa"/>
          </w:tcPr>
          <w:p w14:paraId="1063238D" w14:textId="77777777" w:rsidR="00CD1F94" w:rsidRDefault="000B1A44">
            <w:pPr>
              <w:pStyle w:val="CellColumn"/>
              <w:jc w:val="right"/>
            </w:pPr>
            <w:r>
              <w:rPr>
                <w:rFonts w:cs="Times New Roman"/>
              </w:rPr>
              <w:t>957.281</w:t>
            </w:r>
          </w:p>
        </w:tc>
        <w:tc>
          <w:tcPr>
            <w:tcW w:w="2041" w:type="dxa"/>
          </w:tcPr>
          <w:p w14:paraId="4657A46D" w14:textId="77777777" w:rsidR="00CD1F94" w:rsidRDefault="000B1A44">
            <w:pPr>
              <w:pStyle w:val="CellColumn"/>
              <w:jc w:val="right"/>
            </w:pPr>
            <w:r>
              <w:rPr>
                <w:rFonts w:cs="Times New Roman"/>
              </w:rPr>
              <w:t>1.491.187</w:t>
            </w:r>
          </w:p>
        </w:tc>
        <w:tc>
          <w:tcPr>
            <w:tcW w:w="2041" w:type="dxa"/>
          </w:tcPr>
          <w:p w14:paraId="2B4BB906" w14:textId="77777777" w:rsidR="00CD1F94" w:rsidRDefault="000B1A44">
            <w:pPr>
              <w:pStyle w:val="CellColumn"/>
              <w:jc w:val="right"/>
            </w:pPr>
            <w:r>
              <w:rPr>
                <w:rFonts w:cs="Times New Roman"/>
              </w:rPr>
              <w:t>1.120.671</w:t>
            </w:r>
          </w:p>
        </w:tc>
        <w:tc>
          <w:tcPr>
            <w:tcW w:w="1224" w:type="dxa"/>
          </w:tcPr>
          <w:p w14:paraId="1305E357" w14:textId="77777777" w:rsidR="00CD1F94" w:rsidRDefault="000B1A44">
            <w:pPr>
              <w:pStyle w:val="CellColumn"/>
              <w:jc w:val="right"/>
            </w:pPr>
            <w:r>
              <w:rPr>
                <w:rFonts w:cs="Times New Roman"/>
              </w:rPr>
              <w:t>75,2</w:t>
            </w:r>
          </w:p>
        </w:tc>
        <w:tc>
          <w:tcPr>
            <w:tcW w:w="1224" w:type="dxa"/>
          </w:tcPr>
          <w:p w14:paraId="63EF3102" w14:textId="77777777" w:rsidR="00CD1F94" w:rsidRDefault="000B1A44">
            <w:pPr>
              <w:pStyle w:val="CellColumn"/>
              <w:jc w:val="right"/>
            </w:pPr>
            <w:r>
              <w:rPr>
                <w:rFonts w:cs="Times New Roman"/>
              </w:rPr>
              <w:t>117,1</w:t>
            </w:r>
          </w:p>
        </w:tc>
      </w:tr>
    </w:tbl>
    <w:p w14:paraId="017BFCD9" w14:textId="77777777" w:rsidR="00CD1F94" w:rsidRDefault="00CD1F94">
      <w:pPr>
        <w:jc w:val="left"/>
      </w:pPr>
    </w:p>
    <w:p w14:paraId="0C9FCFB3" w14:textId="77777777" w:rsidR="00CD1F94" w:rsidRDefault="000B1A44">
      <w:pPr>
        <w:pStyle w:val="Naslov8"/>
        <w:jc w:val="left"/>
      </w:pPr>
      <w:r>
        <w:t>Zakonske i druge pravne osnove</w:t>
      </w:r>
    </w:p>
    <w:p w14:paraId="69EFC8B6" w14:textId="77777777" w:rsidR="00CD1F94" w:rsidRDefault="000B1A44">
      <w:r>
        <w:t xml:space="preserve">Zakon o državnim službenicima  </w:t>
      </w:r>
    </w:p>
    <w:p w14:paraId="2EF3ECC9" w14:textId="77777777" w:rsidR="00CD1F94" w:rsidRDefault="000B1A44">
      <w:r>
        <w:t xml:space="preserve">Kolektivni ugovor za državne službenike i namještenike  </w:t>
      </w:r>
    </w:p>
    <w:p w14:paraId="5ECFA426" w14:textId="77777777" w:rsidR="00CD1F94" w:rsidRDefault="000B1A44">
      <w:r>
        <w:t xml:space="preserve">Zakon o javnoj nabavi </w:t>
      </w:r>
    </w:p>
    <w:p w14:paraId="5ED92A6F" w14:textId="77777777" w:rsidR="00CD1F94" w:rsidRDefault="000B1A44">
      <w:r>
        <w:t>Godišnje izvješće o provedbi provedbenog programa Središnjeg državnog ureda za središnju javnu nabavu</w:t>
      </w:r>
    </w:p>
    <w:p w14:paraId="4C3DBBFD" w14:textId="77777777" w:rsidR="00CD1F94" w:rsidRDefault="000B1A44">
      <w:pPr>
        <w:pStyle w:val="Naslov8"/>
        <w:jc w:val="left"/>
      </w:pPr>
      <w:r>
        <w:lastRenderedPageBreak/>
        <w:t>Opis aktivnosti</w:t>
      </w:r>
    </w:p>
    <w:p w14:paraId="7761C6AD" w14:textId="77777777" w:rsidR="00CD1F94" w:rsidRDefault="000B1A44">
      <w:r>
        <w:t>Sa aktivnosti administracija i upravljanje namiruju se troškovi plaća i ostali rashodi za zaposlene, te ostali troškovi za redovito poslovanje (režijski troškovi, najmovi, objave u Elektroničkom oglasniku javne nabave). Najznačajniji dio rashoda u iznosu od 1.011.538,63 eura odnosi se na rashode za zaposlene, koji u ukupno izvršenim rashodima u iznosu od 1.120.671,04 eura ove aktivnosti iznose 90,26 %. Preostala izvršena sredstva na ovoj aktivnosti u iznosu od 101.277,26 eura odnose se   na materijalne rash</w:t>
      </w:r>
      <w:r>
        <w:t>ode i u iznosu od 7.855,15 eura odnose se na  nabavu uredskog namještaja, komunikacijsku opremu, te opremu za održavanje i zaštitu za redovito poslovanje Središnjeg državnog ureda. U odnosu na 2023. godinu izvršenje na ovoj aktivnosti je veće za 17% na rashodima za zaposlene zbog provedene reforme sustava plaća i primjene novih koeficijenata, kao i povećanja osnovice za obračun plaća državnih dužnosnika, te isplate uskrsnice državnim službenicima. U 2024. godini nije bilo izvršenja troškova po žalbenim post</w:t>
      </w:r>
      <w:r>
        <w:t xml:space="preserve">upcima pred Državnom komisijom za kontrolu postupaka javne nabave, pa je i izvršenje plana manje. Najpovoljnija opcija za Središnji državni ured je da se isti ne ostvare jer to  konkretno znači da nisu podnijete žalbe ili su žalbe uspješno otklonjene tj. nisu bile utemeljene. </w:t>
      </w:r>
    </w:p>
    <w:p w14:paraId="7D0FDF05" w14:textId="77777777" w:rsidR="00CD1F94" w:rsidRDefault="000B1A44">
      <w:r>
        <w:t>Planom nabave Središnjeg državnog ureda za središnju javnu nabavu za 2024. godinu planirana je objava 13 postupaka javne nabave. Ukupna procijenjena vrijednost postupaka započetih u 2024. godini je bila 159.764.550 eura. Od započetih 13 postupaka za devet su sklopljeni okvirni sporazumi, uz uspostavljeni dinamički sustav nabave i temeljem kojeg su provedena tri mini nadmetanja i sklopljeni okvirni sporazumi. Preostali postupci, njih četiri, dovršavanju se sklapanjem okvirnih sporazuma u 2025. godini. Takođe</w:t>
      </w:r>
      <w:r>
        <w:t>r, jedan dinamički sustav nabave je produžen u trajanju do kraja 2025. godine, a mini nadmetanja u tom dinamičkom sustavu nabave provode korisnici samostalno. Od 13 objavljenih postupaka nabave četiri postupaka je bilo za prošireni krug korisnika (obveznici središnje nabave i cca 550 proračunskih korisnika) i dva postupka sa djelomično proširenim krugom korisnika. Preostali postupci obuhvaćaju obveznike središnje nabave.</w:t>
      </w:r>
    </w:p>
    <w:p w14:paraId="64EBAC8A" w14:textId="77777777" w:rsidR="00CD1F94" w:rsidRDefault="000B1A4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CD1F94" w14:paraId="587A9A0C" w14:textId="77777777">
        <w:trPr>
          <w:jc w:val="center"/>
        </w:trPr>
        <w:tc>
          <w:tcPr>
            <w:tcW w:w="2551" w:type="dxa"/>
            <w:shd w:val="clear" w:color="auto" w:fill="B5C0D8"/>
          </w:tcPr>
          <w:p w14:paraId="40470F5C" w14:textId="77777777" w:rsidR="00CD1F94" w:rsidRDefault="000B1A44">
            <w:pPr>
              <w:jc w:val="center"/>
            </w:pPr>
            <w:r>
              <w:t>Pokazatelj rezultata</w:t>
            </w:r>
          </w:p>
        </w:tc>
        <w:tc>
          <w:tcPr>
            <w:tcW w:w="2551" w:type="dxa"/>
            <w:shd w:val="clear" w:color="auto" w:fill="B5C0D8"/>
          </w:tcPr>
          <w:p w14:paraId="0125257A" w14:textId="77777777" w:rsidR="00CD1F94" w:rsidRDefault="000B1A44">
            <w:pPr>
              <w:pStyle w:val="CellHeader"/>
              <w:jc w:val="center"/>
            </w:pPr>
            <w:r>
              <w:rPr>
                <w:rFonts w:cs="Times New Roman"/>
              </w:rPr>
              <w:t>Definicija</w:t>
            </w:r>
          </w:p>
        </w:tc>
        <w:tc>
          <w:tcPr>
            <w:tcW w:w="1020" w:type="dxa"/>
            <w:shd w:val="clear" w:color="auto" w:fill="B5C0D8"/>
          </w:tcPr>
          <w:p w14:paraId="091B5FC3" w14:textId="77777777" w:rsidR="00CD1F94" w:rsidRDefault="000B1A44">
            <w:pPr>
              <w:pStyle w:val="CellHeader"/>
              <w:jc w:val="center"/>
            </w:pPr>
            <w:r>
              <w:rPr>
                <w:rFonts w:cs="Times New Roman"/>
              </w:rPr>
              <w:t>Jedinica</w:t>
            </w:r>
          </w:p>
        </w:tc>
        <w:tc>
          <w:tcPr>
            <w:tcW w:w="1020" w:type="dxa"/>
            <w:shd w:val="clear" w:color="auto" w:fill="B5C0D8"/>
          </w:tcPr>
          <w:p w14:paraId="7A357648" w14:textId="77777777" w:rsidR="00CD1F94" w:rsidRDefault="000B1A44">
            <w:pPr>
              <w:pStyle w:val="CellHeader"/>
              <w:jc w:val="center"/>
            </w:pPr>
            <w:r>
              <w:rPr>
                <w:rFonts w:cs="Times New Roman"/>
              </w:rPr>
              <w:t>Polazna vrijednost</w:t>
            </w:r>
          </w:p>
        </w:tc>
        <w:tc>
          <w:tcPr>
            <w:tcW w:w="1020" w:type="dxa"/>
            <w:shd w:val="clear" w:color="auto" w:fill="B5C0D8"/>
          </w:tcPr>
          <w:p w14:paraId="7007A792" w14:textId="77777777" w:rsidR="00CD1F94" w:rsidRDefault="000B1A44">
            <w:pPr>
              <w:pStyle w:val="CellHeader"/>
              <w:jc w:val="center"/>
            </w:pPr>
            <w:r>
              <w:rPr>
                <w:rFonts w:cs="Times New Roman"/>
              </w:rPr>
              <w:t>Izvor podataka</w:t>
            </w:r>
          </w:p>
        </w:tc>
        <w:tc>
          <w:tcPr>
            <w:tcW w:w="1020" w:type="dxa"/>
            <w:shd w:val="clear" w:color="auto" w:fill="B5C0D8"/>
          </w:tcPr>
          <w:p w14:paraId="70B47490" w14:textId="77777777" w:rsidR="00CD1F94" w:rsidRDefault="000B1A44">
            <w:pPr>
              <w:pStyle w:val="CellHeader"/>
              <w:jc w:val="center"/>
            </w:pPr>
            <w:r>
              <w:rPr>
                <w:rFonts w:cs="Times New Roman"/>
              </w:rPr>
              <w:t>Ciljana vrijednost (2024.)</w:t>
            </w:r>
          </w:p>
        </w:tc>
        <w:tc>
          <w:tcPr>
            <w:tcW w:w="1020" w:type="dxa"/>
            <w:shd w:val="clear" w:color="auto" w:fill="B5C0D8"/>
          </w:tcPr>
          <w:p w14:paraId="55E8A123" w14:textId="77777777" w:rsidR="00CD1F94" w:rsidRDefault="000B1A44">
            <w:pPr>
              <w:pStyle w:val="CellHeader"/>
              <w:jc w:val="center"/>
            </w:pPr>
            <w:r>
              <w:rPr>
                <w:rFonts w:cs="Times New Roman"/>
              </w:rPr>
              <w:t>Ostvarena vrijednost (2024.)</w:t>
            </w:r>
          </w:p>
        </w:tc>
      </w:tr>
      <w:tr w:rsidR="00CD1F94" w14:paraId="53F7C1B6" w14:textId="77777777">
        <w:trPr>
          <w:jc w:val="center"/>
        </w:trPr>
        <w:tc>
          <w:tcPr>
            <w:tcW w:w="2551" w:type="dxa"/>
          </w:tcPr>
          <w:p w14:paraId="7274B27F" w14:textId="77777777" w:rsidR="00CD1F94" w:rsidRDefault="000B1A44">
            <w:pPr>
              <w:pStyle w:val="CellColumn"/>
              <w:jc w:val="left"/>
            </w:pPr>
            <w:r>
              <w:rPr>
                <w:rFonts w:cs="Times New Roman"/>
              </w:rPr>
              <w:t>Udio započetih postupaka javne nabave u odnosu na planirane postupke u okviru Plana nabave</w:t>
            </w:r>
          </w:p>
        </w:tc>
        <w:tc>
          <w:tcPr>
            <w:tcW w:w="2551" w:type="dxa"/>
          </w:tcPr>
          <w:p w14:paraId="01F0A0CF" w14:textId="77777777" w:rsidR="00CD1F94" w:rsidRDefault="000B1A44">
            <w:pPr>
              <w:pStyle w:val="CellColumn"/>
              <w:jc w:val="left"/>
            </w:pPr>
            <w:r>
              <w:rPr>
                <w:rFonts w:cs="Times New Roman"/>
              </w:rPr>
              <w:t>Planom nabave definiraju se postupci objedinjene nabave koje je potrebno objaviti u proračunskoj godini</w:t>
            </w:r>
          </w:p>
        </w:tc>
        <w:tc>
          <w:tcPr>
            <w:tcW w:w="1020" w:type="dxa"/>
          </w:tcPr>
          <w:p w14:paraId="0755E39E" w14:textId="77777777" w:rsidR="00CD1F94" w:rsidRDefault="000B1A44">
            <w:pPr>
              <w:pStyle w:val="CellColumn"/>
              <w:jc w:val="right"/>
            </w:pPr>
            <w:r>
              <w:rPr>
                <w:rFonts w:cs="Times New Roman"/>
              </w:rPr>
              <w:t>postotak</w:t>
            </w:r>
          </w:p>
        </w:tc>
        <w:tc>
          <w:tcPr>
            <w:tcW w:w="1020" w:type="dxa"/>
          </w:tcPr>
          <w:p w14:paraId="0509E3A5" w14:textId="77777777" w:rsidR="00CD1F94" w:rsidRDefault="000B1A44">
            <w:pPr>
              <w:pStyle w:val="CellColumn"/>
              <w:jc w:val="right"/>
            </w:pPr>
            <w:r>
              <w:rPr>
                <w:rFonts w:cs="Times New Roman"/>
              </w:rPr>
              <w:t>100</w:t>
            </w:r>
          </w:p>
        </w:tc>
        <w:tc>
          <w:tcPr>
            <w:tcW w:w="1020" w:type="dxa"/>
          </w:tcPr>
          <w:p w14:paraId="676EE0BC" w14:textId="77777777" w:rsidR="00CD1F94" w:rsidRDefault="000B1A44">
            <w:pPr>
              <w:pStyle w:val="CellColumn"/>
              <w:jc w:val="right"/>
            </w:pPr>
            <w:r>
              <w:rPr>
                <w:rFonts w:cs="Times New Roman"/>
              </w:rPr>
              <w:t>Središnji državni ured, EOJN</w:t>
            </w:r>
          </w:p>
        </w:tc>
        <w:tc>
          <w:tcPr>
            <w:tcW w:w="1020" w:type="dxa"/>
          </w:tcPr>
          <w:p w14:paraId="23B078E6" w14:textId="77777777" w:rsidR="00CD1F94" w:rsidRDefault="000B1A44">
            <w:pPr>
              <w:pStyle w:val="CellColumn"/>
              <w:jc w:val="right"/>
            </w:pPr>
            <w:r>
              <w:rPr>
                <w:rFonts w:cs="Times New Roman"/>
              </w:rPr>
              <w:t>100</w:t>
            </w:r>
          </w:p>
        </w:tc>
        <w:tc>
          <w:tcPr>
            <w:tcW w:w="1020" w:type="dxa"/>
          </w:tcPr>
          <w:p w14:paraId="441AD204" w14:textId="77777777" w:rsidR="00CD1F94" w:rsidRDefault="000B1A44">
            <w:pPr>
              <w:pStyle w:val="CellColumn"/>
              <w:jc w:val="right"/>
            </w:pPr>
            <w:r>
              <w:rPr>
                <w:rFonts w:cs="Times New Roman"/>
              </w:rPr>
              <w:t>100</w:t>
            </w:r>
          </w:p>
        </w:tc>
      </w:tr>
    </w:tbl>
    <w:p w14:paraId="62CF5049" w14:textId="77777777" w:rsidR="00CD1F94" w:rsidRDefault="00CD1F94">
      <w:pPr>
        <w:jc w:val="left"/>
      </w:pPr>
    </w:p>
    <w:p w14:paraId="4647F34F" w14:textId="77777777" w:rsidR="00CD1F94" w:rsidRDefault="000B1A44">
      <w:pPr>
        <w:pStyle w:val="Naslov4"/>
      </w:pPr>
      <w:r>
        <w:t>K857002 INFORMATIZACIJA</w:t>
      </w:r>
    </w:p>
    <w:tbl>
      <w:tblPr>
        <w:tblStyle w:val="StilTablice"/>
        <w:tblW w:w="10206" w:type="dxa"/>
        <w:jc w:val="center"/>
        <w:tblLook w:val="04A0" w:firstRow="1" w:lastRow="0" w:firstColumn="1" w:lastColumn="0" w:noHBand="0" w:noVBand="1"/>
      </w:tblPr>
      <w:tblGrid>
        <w:gridCol w:w="1914"/>
        <w:gridCol w:w="1961"/>
        <w:gridCol w:w="1949"/>
        <w:gridCol w:w="1961"/>
        <w:gridCol w:w="1207"/>
        <w:gridCol w:w="1214"/>
      </w:tblGrid>
      <w:tr w:rsidR="00CD1F94" w14:paraId="579B6A58" w14:textId="77777777">
        <w:trPr>
          <w:jc w:val="center"/>
        </w:trPr>
        <w:tc>
          <w:tcPr>
            <w:tcW w:w="1632" w:type="dxa"/>
            <w:shd w:val="clear" w:color="auto" w:fill="B5C0D8"/>
          </w:tcPr>
          <w:p w14:paraId="514E0207" w14:textId="77777777" w:rsidR="00CD1F94" w:rsidRDefault="000B1A44">
            <w:pPr>
              <w:pStyle w:val="CellHeader"/>
              <w:jc w:val="center"/>
            </w:pPr>
            <w:r>
              <w:rPr>
                <w:rFonts w:cs="Times New Roman"/>
              </w:rPr>
              <w:t>Naziv aktivnosti</w:t>
            </w:r>
          </w:p>
        </w:tc>
        <w:tc>
          <w:tcPr>
            <w:tcW w:w="2041" w:type="dxa"/>
            <w:shd w:val="clear" w:color="auto" w:fill="B5C0D8"/>
          </w:tcPr>
          <w:p w14:paraId="38B0A8B3" w14:textId="77777777" w:rsidR="00CD1F94" w:rsidRDefault="000B1A44">
            <w:pPr>
              <w:pStyle w:val="CellHeader"/>
              <w:jc w:val="center"/>
            </w:pPr>
            <w:r>
              <w:rPr>
                <w:rFonts w:cs="Times New Roman"/>
              </w:rPr>
              <w:t>Izvršenje 2023. (eur)</w:t>
            </w:r>
          </w:p>
        </w:tc>
        <w:tc>
          <w:tcPr>
            <w:tcW w:w="2041" w:type="dxa"/>
            <w:shd w:val="clear" w:color="auto" w:fill="B5C0D8"/>
          </w:tcPr>
          <w:p w14:paraId="6C44B2EA" w14:textId="77777777" w:rsidR="00CD1F94" w:rsidRDefault="000B1A44">
            <w:pPr>
              <w:pStyle w:val="CellHeader"/>
              <w:jc w:val="center"/>
            </w:pPr>
            <w:r>
              <w:rPr>
                <w:rFonts w:cs="Times New Roman"/>
              </w:rPr>
              <w:t>Plan 2024. (eur)</w:t>
            </w:r>
          </w:p>
        </w:tc>
        <w:tc>
          <w:tcPr>
            <w:tcW w:w="2041" w:type="dxa"/>
            <w:shd w:val="clear" w:color="auto" w:fill="B5C0D8"/>
          </w:tcPr>
          <w:p w14:paraId="2290BDAF" w14:textId="77777777" w:rsidR="00CD1F94" w:rsidRDefault="000B1A44">
            <w:pPr>
              <w:pStyle w:val="CellHeader"/>
              <w:jc w:val="center"/>
            </w:pPr>
            <w:r>
              <w:rPr>
                <w:rFonts w:cs="Times New Roman"/>
              </w:rPr>
              <w:t>Izvršenje 2024. (eur)</w:t>
            </w:r>
          </w:p>
        </w:tc>
        <w:tc>
          <w:tcPr>
            <w:tcW w:w="1224" w:type="dxa"/>
            <w:shd w:val="clear" w:color="auto" w:fill="B5C0D8"/>
          </w:tcPr>
          <w:p w14:paraId="25C9B406" w14:textId="77777777" w:rsidR="00CD1F94" w:rsidRDefault="000B1A44">
            <w:pPr>
              <w:pStyle w:val="CellHeader"/>
              <w:jc w:val="center"/>
            </w:pPr>
            <w:r>
              <w:rPr>
                <w:rFonts w:cs="Times New Roman"/>
              </w:rPr>
              <w:t>Indeks izvršenje 2024./plan 2024.</w:t>
            </w:r>
          </w:p>
        </w:tc>
        <w:tc>
          <w:tcPr>
            <w:tcW w:w="1224" w:type="dxa"/>
            <w:shd w:val="clear" w:color="auto" w:fill="B5C0D8"/>
          </w:tcPr>
          <w:p w14:paraId="460C0EAA" w14:textId="77777777" w:rsidR="00CD1F94" w:rsidRDefault="000B1A44">
            <w:pPr>
              <w:pStyle w:val="CellHeader"/>
              <w:jc w:val="center"/>
            </w:pPr>
            <w:r>
              <w:rPr>
                <w:rFonts w:cs="Times New Roman"/>
              </w:rPr>
              <w:t>Indeks izvršenje 2024./2023.</w:t>
            </w:r>
          </w:p>
        </w:tc>
      </w:tr>
      <w:tr w:rsidR="00CD1F94" w14:paraId="349EF61F" w14:textId="77777777">
        <w:trPr>
          <w:jc w:val="center"/>
        </w:trPr>
        <w:tc>
          <w:tcPr>
            <w:tcW w:w="1632" w:type="dxa"/>
          </w:tcPr>
          <w:p w14:paraId="004BA2F7" w14:textId="77777777" w:rsidR="00CD1F94" w:rsidRDefault="000B1A44">
            <w:pPr>
              <w:pStyle w:val="CellColumn"/>
              <w:jc w:val="left"/>
            </w:pPr>
            <w:r>
              <w:rPr>
                <w:rFonts w:cs="Times New Roman"/>
              </w:rPr>
              <w:t>K857002-INFORMATIZACIJA</w:t>
            </w:r>
          </w:p>
        </w:tc>
        <w:tc>
          <w:tcPr>
            <w:tcW w:w="2041" w:type="dxa"/>
          </w:tcPr>
          <w:p w14:paraId="70B78DE8" w14:textId="77777777" w:rsidR="00CD1F94" w:rsidRDefault="000B1A44">
            <w:pPr>
              <w:pStyle w:val="CellColumn"/>
              <w:jc w:val="right"/>
            </w:pPr>
            <w:r>
              <w:rPr>
                <w:rFonts w:cs="Times New Roman"/>
              </w:rPr>
              <w:t>14.915</w:t>
            </w:r>
          </w:p>
        </w:tc>
        <w:tc>
          <w:tcPr>
            <w:tcW w:w="2041" w:type="dxa"/>
          </w:tcPr>
          <w:p w14:paraId="4CCBF59E" w14:textId="77777777" w:rsidR="00CD1F94" w:rsidRDefault="000B1A44">
            <w:pPr>
              <w:pStyle w:val="CellColumn"/>
              <w:jc w:val="right"/>
            </w:pPr>
            <w:r>
              <w:rPr>
                <w:rFonts w:cs="Times New Roman"/>
              </w:rPr>
              <w:t>37.028</w:t>
            </w:r>
          </w:p>
        </w:tc>
        <w:tc>
          <w:tcPr>
            <w:tcW w:w="2041" w:type="dxa"/>
          </w:tcPr>
          <w:p w14:paraId="479A8BAF" w14:textId="77777777" w:rsidR="00CD1F94" w:rsidRDefault="000B1A44">
            <w:pPr>
              <w:pStyle w:val="CellColumn"/>
              <w:jc w:val="right"/>
            </w:pPr>
            <w:r>
              <w:rPr>
                <w:rFonts w:cs="Times New Roman"/>
              </w:rPr>
              <w:t>29.810</w:t>
            </w:r>
          </w:p>
        </w:tc>
        <w:tc>
          <w:tcPr>
            <w:tcW w:w="1224" w:type="dxa"/>
          </w:tcPr>
          <w:p w14:paraId="0EED97E3" w14:textId="77777777" w:rsidR="00CD1F94" w:rsidRDefault="000B1A44">
            <w:pPr>
              <w:pStyle w:val="CellColumn"/>
              <w:jc w:val="right"/>
            </w:pPr>
            <w:r>
              <w:rPr>
                <w:rFonts w:cs="Times New Roman"/>
              </w:rPr>
              <w:t>80,5</w:t>
            </w:r>
          </w:p>
        </w:tc>
        <w:tc>
          <w:tcPr>
            <w:tcW w:w="1224" w:type="dxa"/>
          </w:tcPr>
          <w:p w14:paraId="4BE894BD" w14:textId="77777777" w:rsidR="00CD1F94" w:rsidRDefault="000B1A44">
            <w:pPr>
              <w:pStyle w:val="CellColumn"/>
              <w:jc w:val="right"/>
            </w:pPr>
            <w:r>
              <w:rPr>
                <w:rFonts w:cs="Times New Roman"/>
              </w:rPr>
              <w:t>199,9</w:t>
            </w:r>
          </w:p>
        </w:tc>
      </w:tr>
    </w:tbl>
    <w:p w14:paraId="5154C679" w14:textId="77777777" w:rsidR="00CD1F94" w:rsidRDefault="00CD1F94">
      <w:pPr>
        <w:jc w:val="left"/>
      </w:pPr>
    </w:p>
    <w:p w14:paraId="3C4EE72D" w14:textId="77777777" w:rsidR="00CD1F94" w:rsidRDefault="000B1A44">
      <w:pPr>
        <w:pStyle w:val="Naslov8"/>
        <w:jc w:val="left"/>
      </w:pPr>
      <w:r>
        <w:t>Zakonske i druge pravne osnove</w:t>
      </w:r>
    </w:p>
    <w:p w14:paraId="3A076D4F" w14:textId="77777777" w:rsidR="00CD1F94" w:rsidRDefault="000B1A44">
      <w:r>
        <w:t>Zakon o javnoj nabavi</w:t>
      </w:r>
    </w:p>
    <w:p w14:paraId="49F93FDF" w14:textId="77777777" w:rsidR="00CD1F94" w:rsidRDefault="000B1A44">
      <w:pPr>
        <w:pStyle w:val="Naslov8"/>
        <w:jc w:val="left"/>
      </w:pPr>
      <w:r>
        <w:t>Opis aktivnosti</w:t>
      </w:r>
    </w:p>
    <w:p w14:paraId="7A14357C" w14:textId="77777777" w:rsidR="00CD1F94" w:rsidRDefault="000B1A44">
      <w:r>
        <w:t>Planirana sredstva utrošena su na nabavu računala i računalne opreme. Nabavljeno je 19 uredskih računala zbog dotrajalosti i starosti jer ista ne bi bila sigurna za rad obzirom na odluku Microsofta o ukidanju sigurnosnih zakrpa, pet prijenosnih računala i pet monitora. Obzirom da je u 2023. godini kupljena licenca za sustav elektroničkog uredskog poslovanja, ove godine nije bilo potrebe za licencama.</w:t>
      </w:r>
    </w:p>
    <w:p w14:paraId="7454D054" w14:textId="77777777" w:rsidR="00CD1F94" w:rsidRDefault="000B1A44">
      <w:pPr>
        <w:pStyle w:val="Naslov4"/>
      </w:pPr>
      <w:r>
        <w:lastRenderedPageBreak/>
        <w:t>K857004 INTEGRALNI INFORMATIČKI SUSTAV JAVNE NABAVE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CD1F94" w14:paraId="74C111C9" w14:textId="77777777">
        <w:trPr>
          <w:jc w:val="center"/>
        </w:trPr>
        <w:tc>
          <w:tcPr>
            <w:tcW w:w="1632" w:type="dxa"/>
            <w:shd w:val="clear" w:color="auto" w:fill="B5C0D8"/>
          </w:tcPr>
          <w:p w14:paraId="74C91123" w14:textId="77777777" w:rsidR="00CD1F94" w:rsidRDefault="000B1A44">
            <w:pPr>
              <w:pStyle w:val="CellHeader"/>
              <w:jc w:val="center"/>
            </w:pPr>
            <w:r>
              <w:rPr>
                <w:rFonts w:cs="Times New Roman"/>
              </w:rPr>
              <w:t>Naziv aktivnosti</w:t>
            </w:r>
          </w:p>
        </w:tc>
        <w:tc>
          <w:tcPr>
            <w:tcW w:w="2041" w:type="dxa"/>
            <w:shd w:val="clear" w:color="auto" w:fill="B5C0D8"/>
          </w:tcPr>
          <w:p w14:paraId="60A357D6" w14:textId="77777777" w:rsidR="00CD1F94" w:rsidRDefault="000B1A44">
            <w:pPr>
              <w:pStyle w:val="CellHeader"/>
              <w:jc w:val="center"/>
            </w:pPr>
            <w:r>
              <w:rPr>
                <w:rFonts w:cs="Times New Roman"/>
              </w:rPr>
              <w:t>Izvršenje 2023. (eur)</w:t>
            </w:r>
          </w:p>
        </w:tc>
        <w:tc>
          <w:tcPr>
            <w:tcW w:w="2041" w:type="dxa"/>
            <w:shd w:val="clear" w:color="auto" w:fill="B5C0D8"/>
          </w:tcPr>
          <w:p w14:paraId="756D8AC6" w14:textId="77777777" w:rsidR="00CD1F94" w:rsidRDefault="000B1A44">
            <w:pPr>
              <w:pStyle w:val="CellHeader"/>
              <w:jc w:val="center"/>
            </w:pPr>
            <w:r>
              <w:rPr>
                <w:rFonts w:cs="Times New Roman"/>
              </w:rPr>
              <w:t>Plan 2024. (eur)</w:t>
            </w:r>
          </w:p>
        </w:tc>
        <w:tc>
          <w:tcPr>
            <w:tcW w:w="2041" w:type="dxa"/>
            <w:shd w:val="clear" w:color="auto" w:fill="B5C0D8"/>
          </w:tcPr>
          <w:p w14:paraId="0671CC90" w14:textId="77777777" w:rsidR="00CD1F94" w:rsidRDefault="000B1A44">
            <w:pPr>
              <w:pStyle w:val="CellHeader"/>
              <w:jc w:val="center"/>
            </w:pPr>
            <w:r>
              <w:rPr>
                <w:rFonts w:cs="Times New Roman"/>
              </w:rPr>
              <w:t>Izvršenje 2024. (eur)</w:t>
            </w:r>
          </w:p>
        </w:tc>
        <w:tc>
          <w:tcPr>
            <w:tcW w:w="1224" w:type="dxa"/>
            <w:shd w:val="clear" w:color="auto" w:fill="B5C0D8"/>
          </w:tcPr>
          <w:p w14:paraId="56C162E3" w14:textId="77777777" w:rsidR="00CD1F94" w:rsidRDefault="000B1A44">
            <w:pPr>
              <w:pStyle w:val="CellHeader"/>
              <w:jc w:val="center"/>
            </w:pPr>
            <w:r>
              <w:rPr>
                <w:rFonts w:cs="Times New Roman"/>
              </w:rPr>
              <w:t>Indeks izvršenje 2024./plan 2024.</w:t>
            </w:r>
          </w:p>
        </w:tc>
        <w:tc>
          <w:tcPr>
            <w:tcW w:w="1224" w:type="dxa"/>
            <w:shd w:val="clear" w:color="auto" w:fill="B5C0D8"/>
          </w:tcPr>
          <w:p w14:paraId="53FB8F9B" w14:textId="77777777" w:rsidR="00CD1F94" w:rsidRDefault="000B1A44">
            <w:pPr>
              <w:pStyle w:val="CellHeader"/>
              <w:jc w:val="center"/>
            </w:pPr>
            <w:r>
              <w:rPr>
                <w:rFonts w:cs="Times New Roman"/>
              </w:rPr>
              <w:t>Indeks izvršenje 2024./2023.</w:t>
            </w:r>
          </w:p>
        </w:tc>
      </w:tr>
      <w:tr w:rsidR="00CD1F94" w14:paraId="38F2D27F" w14:textId="77777777">
        <w:trPr>
          <w:jc w:val="center"/>
        </w:trPr>
        <w:tc>
          <w:tcPr>
            <w:tcW w:w="1632" w:type="dxa"/>
          </w:tcPr>
          <w:p w14:paraId="2DD43C1D" w14:textId="77777777" w:rsidR="00CD1F94" w:rsidRDefault="000B1A44">
            <w:pPr>
              <w:pStyle w:val="CellColumn"/>
              <w:jc w:val="left"/>
            </w:pPr>
            <w:r>
              <w:rPr>
                <w:rFonts w:cs="Times New Roman"/>
              </w:rPr>
              <w:t>K857004-INTEGRALNI INFORMATIČKI SUSTAV JAVNE NABAVE</w:t>
            </w:r>
          </w:p>
        </w:tc>
        <w:tc>
          <w:tcPr>
            <w:tcW w:w="2041" w:type="dxa"/>
          </w:tcPr>
          <w:p w14:paraId="4212F42F" w14:textId="77777777" w:rsidR="00CD1F94" w:rsidRDefault="000B1A44">
            <w:pPr>
              <w:pStyle w:val="CellColumn"/>
              <w:jc w:val="right"/>
            </w:pPr>
            <w:r>
              <w:rPr>
                <w:rFonts w:cs="Times New Roman"/>
              </w:rPr>
              <w:t>0</w:t>
            </w:r>
          </w:p>
        </w:tc>
        <w:tc>
          <w:tcPr>
            <w:tcW w:w="2041" w:type="dxa"/>
          </w:tcPr>
          <w:p w14:paraId="6C2E8C22" w14:textId="77777777" w:rsidR="00CD1F94" w:rsidRDefault="000B1A44">
            <w:pPr>
              <w:pStyle w:val="CellColumn"/>
              <w:jc w:val="right"/>
            </w:pPr>
            <w:r>
              <w:rPr>
                <w:rFonts w:cs="Times New Roman"/>
              </w:rPr>
              <w:t>0</w:t>
            </w:r>
          </w:p>
        </w:tc>
        <w:tc>
          <w:tcPr>
            <w:tcW w:w="2041" w:type="dxa"/>
          </w:tcPr>
          <w:p w14:paraId="50C2E51E" w14:textId="77777777" w:rsidR="00CD1F94" w:rsidRDefault="000B1A44">
            <w:pPr>
              <w:pStyle w:val="CellColumn"/>
              <w:jc w:val="right"/>
            </w:pPr>
            <w:r>
              <w:rPr>
                <w:rFonts w:cs="Times New Roman"/>
              </w:rPr>
              <w:t>0</w:t>
            </w:r>
          </w:p>
        </w:tc>
        <w:tc>
          <w:tcPr>
            <w:tcW w:w="1224" w:type="dxa"/>
          </w:tcPr>
          <w:p w14:paraId="5FDC97F9" w14:textId="77777777" w:rsidR="00CD1F94" w:rsidRDefault="000B1A44">
            <w:pPr>
              <w:pStyle w:val="CellColumn"/>
              <w:jc w:val="right"/>
            </w:pPr>
            <w:r>
              <w:rPr>
                <w:rFonts w:cs="Times New Roman"/>
              </w:rPr>
              <w:t>0</w:t>
            </w:r>
          </w:p>
        </w:tc>
        <w:tc>
          <w:tcPr>
            <w:tcW w:w="1224" w:type="dxa"/>
          </w:tcPr>
          <w:p w14:paraId="2CBF10C3" w14:textId="77777777" w:rsidR="00CD1F94" w:rsidRDefault="000B1A44">
            <w:pPr>
              <w:pStyle w:val="CellColumn"/>
              <w:jc w:val="right"/>
            </w:pPr>
            <w:r>
              <w:rPr>
                <w:rFonts w:cs="Times New Roman"/>
              </w:rPr>
              <w:t>0</w:t>
            </w:r>
          </w:p>
        </w:tc>
      </w:tr>
    </w:tbl>
    <w:p w14:paraId="56821AD1" w14:textId="77777777" w:rsidR="00CD1F94" w:rsidRDefault="00CD1F94">
      <w:pPr>
        <w:jc w:val="left"/>
      </w:pPr>
    </w:p>
    <w:p w14:paraId="584BA51B" w14:textId="77777777" w:rsidR="00CD1F94" w:rsidRDefault="000B1A44">
      <w:pPr>
        <w:pStyle w:val="Naslov8"/>
        <w:jc w:val="left"/>
      </w:pPr>
      <w:r>
        <w:t>Zakonske i druge pravne osnove</w:t>
      </w:r>
    </w:p>
    <w:p w14:paraId="6909ED33" w14:textId="77777777" w:rsidR="00CD1F94" w:rsidRDefault="000B1A44">
      <w:r>
        <w:t xml:space="preserve">Zakon o državnoj informacijskoj infrastrukturi </w:t>
      </w:r>
    </w:p>
    <w:p w14:paraId="3CDDA90D" w14:textId="77777777" w:rsidR="00CD1F94" w:rsidRDefault="000B1A44">
      <w:r>
        <w:t>Uredba o organizacijskim i tehničkim standardima za povezivanje na državnu informacijsku infrastrukturu</w:t>
      </w:r>
    </w:p>
    <w:p w14:paraId="1EAB244D" w14:textId="77777777" w:rsidR="00CD1F94" w:rsidRDefault="000B1A44">
      <w:pPr>
        <w:pStyle w:val="Naslov8"/>
        <w:jc w:val="left"/>
      </w:pPr>
      <w:r>
        <w:t>Opis aktivnosti</w:t>
      </w:r>
    </w:p>
    <w:p w14:paraId="269C69E0" w14:textId="77777777" w:rsidR="00CD1F94" w:rsidRDefault="000B1A44">
      <w:r>
        <w:t>Nije bilo aktivnosti.</w:t>
      </w:r>
    </w:p>
    <w:sectPr w:rsidR="00CD1F94"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E5DF" w14:textId="77777777" w:rsidR="007A7E45" w:rsidRDefault="007A7E45" w:rsidP="00F352E6">
      <w:r>
        <w:separator/>
      </w:r>
    </w:p>
  </w:endnote>
  <w:endnote w:type="continuationSeparator" w:id="0">
    <w:p w14:paraId="5BE31EF9"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3FC6" w14:textId="77777777" w:rsidR="000B1A44" w:rsidRPr="00D769ED" w:rsidRDefault="000B1A44"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3F87" w14:textId="77777777" w:rsidR="007A7E45" w:rsidRDefault="007A7E45" w:rsidP="00F352E6">
      <w:r>
        <w:separator/>
      </w:r>
    </w:p>
  </w:footnote>
  <w:footnote w:type="continuationSeparator" w:id="0">
    <w:p w14:paraId="2B6A54E1"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A4F4" w14:textId="77777777" w:rsidR="000B1A44" w:rsidRDefault="000B1A44"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B1A44"/>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CD1F94"/>
    <w:rsid w:val="00DE2416"/>
    <w:rsid w:val="00E42E87"/>
    <w:rsid w:val="00E62EF0"/>
    <w:rsid w:val="00EC4482"/>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8FD66B"/>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Kristinka Stipetić</cp:lastModifiedBy>
  <cp:revision>2</cp:revision>
  <dcterms:created xsi:type="dcterms:W3CDTF">2025-04-04T16:31:00Z</dcterms:created>
  <dcterms:modified xsi:type="dcterms:W3CDTF">2025-04-04T16:31:00Z</dcterms:modified>
</cp:coreProperties>
</file>